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1EE2" w14:textId="77777777" w:rsidR="00985281" w:rsidRDefault="00ED5E9F" w:rsidP="00DE1B0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bookmarkStart w:id="0" w:name="_GoBack"/>
      <w:bookmarkEnd w:id="0"/>
      <w:r>
        <w:t xml:space="preserve">In </w:t>
      </w:r>
      <w:r>
        <w:rPr>
          <w:spacing w:val="-4"/>
        </w:rPr>
        <w:t xml:space="preserve">August </w:t>
      </w:r>
      <w:r>
        <w:rPr>
          <w:spacing w:val="-3"/>
        </w:rPr>
        <w:t xml:space="preserve">2017, the </w:t>
      </w:r>
      <w:r>
        <w:rPr>
          <w:spacing w:val="-4"/>
        </w:rPr>
        <w:t xml:space="preserve">Queensland Government appointed </w:t>
      </w:r>
      <w:r>
        <w:t xml:space="preserve">an </w:t>
      </w:r>
      <w:r>
        <w:rPr>
          <w:spacing w:val="-4"/>
        </w:rPr>
        <w:t xml:space="preserve">independent </w:t>
      </w:r>
      <w:r>
        <w:rPr>
          <w:spacing w:val="-3"/>
        </w:rPr>
        <w:t xml:space="preserve">panel </w:t>
      </w:r>
      <w:r>
        <w:t xml:space="preserve">of </w:t>
      </w:r>
      <w:r>
        <w:rPr>
          <w:spacing w:val="-3"/>
        </w:rPr>
        <w:t xml:space="preserve">water </w:t>
      </w:r>
      <w:r>
        <w:rPr>
          <w:spacing w:val="-4"/>
        </w:rPr>
        <w:t xml:space="preserve">experts </w:t>
      </w:r>
      <w:r>
        <w:t xml:space="preserve">to </w:t>
      </w:r>
      <w:r>
        <w:rPr>
          <w:spacing w:val="-4"/>
        </w:rPr>
        <w:t xml:space="preserve">undertake </w:t>
      </w:r>
      <w:r>
        <w:t xml:space="preserve">an </w:t>
      </w:r>
      <w:r>
        <w:rPr>
          <w:spacing w:val="-4"/>
        </w:rPr>
        <w:t xml:space="preserve">independent </w:t>
      </w:r>
      <w:r>
        <w:rPr>
          <w:spacing w:val="-3"/>
        </w:rPr>
        <w:t xml:space="preserve">audit </w:t>
      </w:r>
      <w:r>
        <w:t xml:space="preserve">of </w:t>
      </w:r>
      <w:r>
        <w:rPr>
          <w:spacing w:val="-4"/>
        </w:rPr>
        <w:t xml:space="preserve">Queensland’s non-urban </w:t>
      </w:r>
      <w:r>
        <w:rPr>
          <w:spacing w:val="-3"/>
        </w:rPr>
        <w:t xml:space="preserve">water </w:t>
      </w:r>
      <w:r>
        <w:rPr>
          <w:spacing w:val="-4"/>
        </w:rPr>
        <w:t xml:space="preserve">measurement </w:t>
      </w:r>
      <w:r>
        <w:rPr>
          <w:spacing w:val="-3"/>
        </w:rPr>
        <w:t xml:space="preserve">and </w:t>
      </w:r>
      <w:r>
        <w:rPr>
          <w:spacing w:val="-4"/>
        </w:rPr>
        <w:t xml:space="preserve">compliance. </w:t>
      </w:r>
      <w:r>
        <w:rPr>
          <w:spacing w:val="-3"/>
        </w:rPr>
        <w:t xml:space="preserve">This was </w:t>
      </w:r>
      <w:r>
        <w:rPr>
          <w:spacing w:val="-4"/>
        </w:rPr>
        <w:t xml:space="preserve">following </w:t>
      </w:r>
      <w:r>
        <w:rPr>
          <w:spacing w:val="-3"/>
        </w:rPr>
        <w:t xml:space="preserve">national media attention </w:t>
      </w:r>
      <w:r>
        <w:t xml:space="preserve">on </w:t>
      </w:r>
      <w:r>
        <w:rPr>
          <w:spacing w:val="-3"/>
        </w:rPr>
        <w:t xml:space="preserve">issues relating </w:t>
      </w:r>
      <w:r>
        <w:t xml:space="preserve">to </w:t>
      </w:r>
      <w:r>
        <w:rPr>
          <w:spacing w:val="-3"/>
        </w:rPr>
        <w:t xml:space="preserve">water </w:t>
      </w:r>
      <w:r>
        <w:rPr>
          <w:spacing w:val="-4"/>
        </w:rPr>
        <w:t xml:space="preserve">management </w:t>
      </w:r>
      <w:r>
        <w:rPr>
          <w:spacing w:val="-3"/>
        </w:rPr>
        <w:t xml:space="preserve">and compliance </w:t>
      </w:r>
      <w:r>
        <w:t xml:space="preserve">in </w:t>
      </w:r>
      <w:r>
        <w:rPr>
          <w:spacing w:val="-3"/>
        </w:rPr>
        <w:t xml:space="preserve">the </w:t>
      </w:r>
      <w:r>
        <w:rPr>
          <w:spacing w:val="-4"/>
        </w:rPr>
        <w:t xml:space="preserve">Murray-Darling </w:t>
      </w:r>
      <w:r>
        <w:rPr>
          <w:spacing w:val="-3"/>
        </w:rPr>
        <w:t xml:space="preserve">Basin (MDB). The report from the </w:t>
      </w:r>
      <w:r>
        <w:rPr>
          <w:spacing w:val="-4"/>
        </w:rPr>
        <w:t xml:space="preserve">independent </w:t>
      </w:r>
      <w:r>
        <w:rPr>
          <w:spacing w:val="-3"/>
        </w:rPr>
        <w:t xml:space="preserve">expert panel was provided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government </w:t>
      </w:r>
      <w:r>
        <w:t xml:space="preserve">in </w:t>
      </w:r>
      <w:r>
        <w:rPr>
          <w:spacing w:val="-3"/>
        </w:rPr>
        <w:t>March</w:t>
      </w:r>
      <w:r>
        <w:rPr>
          <w:spacing w:val="-36"/>
        </w:rPr>
        <w:t xml:space="preserve"> </w:t>
      </w:r>
      <w:r>
        <w:rPr>
          <w:spacing w:val="-3"/>
        </w:rPr>
        <w:t>2018.</w:t>
      </w:r>
    </w:p>
    <w:p w14:paraId="7C031EE4" w14:textId="4BDDAB2A" w:rsidR="00985281" w:rsidRPr="0039710D" w:rsidRDefault="00EA5C33" w:rsidP="00DE1B0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spacing w:val="-3"/>
        </w:rPr>
        <w:t>T</w:t>
      </w:r>
      <w:r w:rsidR="00ED5E9F">
        <w:rPr>
          <w:spacing w:val="-3"/>
        </w:rPr>
        <w:t xml:space="preserve">he </w:t>
      </w:r>
      <w:r w:rsidR="00ED5E9F">
        <w:rPr>
          <w:spacing w:val="-4"/>
        </w:rPr>
        <w:t xml:space="preserve">Murray-Darling </w:t>
      </w:r>
      <w:r w:rsidR="00ED5E9F">
        <w:rPr>
          <w:spacing w:val="-3"/>
        </w:rPr>
        <w:t xml:space="preserve">Basin </w:t>
      </w:r>
      <w:r w:rsidR="00ED5E9F">
        <w:rPr>
          <w:spacing w:val="-4"/>
        </w:rPr>
        <w:t xml:space="preserve">Authority </w:t>
      </w:r>
      <w:r w:rsidR="00ED5E9F">
        <w:rPr>
          <w:spacing w:val="-3"/>
        </w:rPr>
        <w:t xml:space="preserve">also </w:t>
      </w:r>
      <w:r w:rsidR="00ED5E9F">
        <w:rPr>
          <w:spacing w:val="-2"/>
        </w:rPr>
        <w:t xml:space="preserve">led </w:t>
      </w:r>
      <w:r w:rsidR="00ED5E9F">
        <w:t xml:space="preserve">an </w:t>
      </w:r>
      <w:r w:rsidR="00ED5E9F">
        <w:rPr>
          <w:spacing w:val="-4"/>
        </w:rPr>
        <w:t xml:space="preserve">independent </w:t>
      </w:r>
      <w:r w:rsidR="00ED5E9F">
        <w:rPr>
          <w:spacing w:val="-3"/>
        </w:rPr>
        <w:t xml:space="preserve">review </w:t>
      </w:r>
      <w:r w:rsidR="00ED5E9F">
        <w:t xml:space="preserve">of </w:t>
      </w:r>
      <w:r w:rsidR="00ED5E9F">
        <w:rPr>
          <w:spacing w:val="-3"/>
        </w:rPr>
        <w:t xml:space="preserve">water </w:t>
      </w:r>
      <w:r w:rsidR="00ED5E9F">
        <w:rPr>
          <w:spacing w:val="-4"/>
        </w:rPr>
        <w:t xml:space="preserve">compliance across </w:t>
      </w:r>
      <w:r w:rsidR="00ED5E9F">
        <w:rPr>
          <w:spacing w:val="-2"/>
        </w:rPr>
        <w:t xml:space="preserve">all </w:t>
      </w:r>
      <w:r w:rsidR="00ED5E9F">
        <w:rPr>
          <w:spacing w:val="-3"/>
        </w:rPr>
        <w:t xml:space="preserve">basin </w:t>
      </w:r>
      <w:r w:rsidR="00ED5E9F">
        <w:rPr>
          <w:spacing w:val="-4"/>
        </w:rPr>
        <w:t xml:space="preserve">states. </w:t>
      </w:r>
      <w:r w:rsidR="00ED5E9F">
        <w:rPr>
          <w:spacing w:val="-3"/>
        </w:rPr>
        <w:t xml:space="preserve">This </w:t>
      </w:r>
      <w:r w:rsidR="00ED5E9F">
        <w:rPr>
          <w:spacing w:val="-4"/>
        </w:rPr>
        <w:t xml:space="preserve">report </w:t>
      </w:r>
      <w:r w:rsidR="00ED5E9F">
        <w:rPr>
          <w:spacing w:val="-3"/>
        </w:rPr>
        <w:t xml:space="preserve">was </w:t>
      </w:r>
      <w:r w:rsidR="00ED5E9F">
        <w:rPr>
          <w:spacing w:val="-4"/>
        </w:rPr>
        <w:t xml:space="preserve">released </w:t>
      </w:r>
      <w:r w:rsidR="00ED5E9F">
        <w:t xml:space="preserve">in </w:t>
      </w:r>
      <w:r w:rsidR="00ED5E9F">
        <w:rPr>
          <w:spacing w:val="-3"/>
        </w:rPr>
        <w:t xml:space="preserve">November 2017. From </w:t>
      </w:r>
      <w:r w:rsidR="00ED5E9F">
        <w:rPr>
          <w:spacing w:val="-4"/>
        </w:rPr>
        <w:t xml:space="preserve">this report </w:t>
      </w:r>
      <w:r w:rsidR="00ED5E9F">
        <w:rPr>
          <w:spacing w:val="-3"/>
        </w:rPr>
        <w:t xml:space="preserve">the </w:t>
      </w:r>
      <w:r w:rsidR="00ED5E9F">
        <w:rPr>
          <w:spacing w:val="-4"/>
        </w:rPr>
        <w:t xml:space="preserve">Murray-Darling </w:t>
      </w:r>
      <w:r w:rsidR="00ED5E9F">
        <w:rPr>
          <w:spacing w:val="-3"/>
        </w:rPr>
        <w:t xml:space="preserve">Basin </w:t>
      </w:r>
      <w:r w:rsidR="00ED5E9F">
        <w:rPr>
          <w:spacing w:val="-4"/>
        </w:rPr>
        <w:t xml:space="preserve">Compliance </w:t>
      </w:r>
      <w:r w:rsidR="00ED5E9F">
        <w:rPr>
          <w:spacing w:val="-3"/>
        </w:rPr>
        <w:t xml:space="preserve">Compact was </w:t>
      </w:r>
      <w:r w:rsidR="00ED5E9F">
        <w:rPr>
          <w:spacing w:val="-4"/>
        </w:rPr>
        <w:t xml:space="preserve">formed </w:t>
      </w:r>
      <w:r w:rsidR="00ED5E9F">
        <w:t xml:space="preserve">by </w:t>
      </w:r>
      <w:r w:rsidR="00ED5E9F">
        <w:rPr>
          <w:spacing w:val="-3"/>
        </w:rPr>
        <w:t xml:space="preserve">basin states and </w:t>
      </w:r>
      <w:r w:rsidR="00ED5E9F">
        <w:rPr>
          <w:spacing w:val="-4"/>
        </w:rPr>
        <w:t xml:space="preserve">the </w:t>
      </w:r>
      <w:r w:rsidR="00ED5E9F">
        <w:rPr>
          <w:spacing w:val="-3"/>
        </w:rPr>
        <w:t xml:space="preserve">Commonwealth </w:t>
      </w:r>
      <w:r w:rsidR="00ED5E9F">
        <w:t xml:space="preserve">to </w:t>
      </w:r>
      <w:r w:rsidR="00ED5E9F">
        <w:rPr>
          <w:spacing w:val="-3"/>
        </w:rPr>
        <w:t xml:space="preserve">deliver </w:t>
      </w:r>
      <w:r w:rsidR="00ED5E9F">
        <w:t xml:space="preserve">on </w:t>
      </w:r>
      <w:r w:rsidR="00ED5E9F">
        <w:rPr>
          <w:spacing w:val="-3"/>
        </w:rPr>
        <w:t xml:space="preserve">actions </w:t>
      </w:r>
      <w:r w:rsidR="00ED5E9F">
        <w:t xml:space="preserve">to </w:t>
      </w:r>
      <w:r w:rsidR="00ED5E9F">
        <w:rPr>
          <w:spacing w:val="-3"/>
        </w:rPr>
        <w:t xml:space="preserve">improve water </w:t>
      </w:r>
      <w:r w:rsidR="00ED5E9F">
        <w:rPr>
          <w:spacing w:val="-4"/>
        </w:rPr>
        <w:t xml:space="preserve">measurement </w:t>
      </w:r>
      <w:r w:rsidR="00ED5E9F">
        <w:rPr>
          <w:spacing w:val="-3"/>
        </w:rPr>
        <w:t xml:space="preserve">and </w:t>
      </w:r>
      <w:r w:rsidR="00ED5E9F">
        <w:rPr>
          <w:spacing w:val="-4"/>
        </w:rPr>
        <w:t xml:space="preserve">compliance across </w:t>
      </w:r>
      <w:r w:rsidR="00ED5E9F">
        <w:rPr>
          <w:spacing w:val="-3"/>
        </w:rPr>
        <w:t xml:space="preserve">the </w:t>
      </w:r>
      <w:r w:rsidR="00ED5E9F">
        <w:rPr>
          <w:spacing w:val="-4"/>
        </w:rPr>
        <w:t>Murray-Darling</w:t>
      </w:r>
      <w:r w:rsidR="00ED5E9F">
        <w:rPr>
          <w:spacing w:val="-8"/>
        </w:rPr>
        <w:t xml:space="preserve"> </w:t>
      </w:r>
      <w:r w:rsidR="00ED5E9F">
        <w:rPr>
          <w:spacing w:val="-3"/>
        </w:rPr>
        <w:t>Basin.</w:t>
      </w:r>
    </w:p>
    <w:p w14:paraId="27E7E252" w14:textId="77777777" w:rsidR="0039710D" w:rsidRDefault="0039710D" w:rsidP="0039710D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 xml:space="preserve">In </w:t>
      </w:r>
      <w:r>
        <w:rPr>
          <w:spacing w:val="-3"/>
        </w:rPr>
        <w:t xml:space="preserve">June 2018, the </w:t>
      </w:r>
      <w:r>
        <w:rPr>
          <w:spacing w:val="-4"/>
        </w:rPr>
        <w:t xml:space="preserve">Queensland Government </w:t>
      </w:r>
      <w:r>
        <w:rPr>
          <w:spacing w:val="-3"/>
        </w:rPr>
        <w:t xml:space="preserve">published </w:t>
      </w:r>
      <w:r>
        <w:rPr>
          <w:spacing w:val="-2"/>
        </w:rPr>
        <w:t xml:space="preserve">its </w:t>
      </w:r>
      <w:r>
        <w:rPr>
          <w:spacing w:val="-3"/>
        </w:rPr>
        <w:t xml:space="preserve">response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Independent Audit </w:t>
      </w:r>
      <w:r>
        <w:t xml:space="preserve">of </w:t>
      </w:r>
      <w:r>
        <w:rPr>
          <w:spacing w:val="-4"/>
        </w:rPr>
        <w:t xml:space="preserve">Queensland Non-Urban </w:t>
      </w:r>
      <w:r>
        <w:rPr>
          <w:spacing w:val="-3"/>
        </w:rPr>
        <w:t xml:space="preserve">Water </w:t>
      </w:r>
      <w:r>
        <w:rPr>
          <w:spacing w:val="-4"/>
        </w:rPr>
        <w:t xml:space="preserve">Measurement </w:t>
      </w:r>
      <w:r>
        <w:rPr>
          <w:spacing w:val="-3"/>
        </w:rPr>
        <w:t xml:space="preserve">and </w:t>
      </w:r>
      <w:r>
        <w:rPr>
          <w:spacing w:val="-4"/>
        </w:rPr>
        <w:t xml:space="preserve">Compliance </w:t>
      </w:r>
      <w:r>
        <w:rPr>
          <w:spacing w:val="-3"/>
        </w:rPr>
        <w:t xml:space="preserve">and the </w:t>
      </w:r>
      <w:r>
        <w:rPr>
          <w:spacing w:val="-4"/>
        </w:rPr>
        <w:t xml:space="preserve">Murray-Darling </w:t>
      </w:r>
      <w:r>
        <w:rPr>
          <w:spacing w:val="-3"/>
        </w:rPr>
        <w:t xml:space="preserve">Basin </w:t>
      </w:r>
      <w:r>
        <w:rPr>
          <w:spacing w:val="-4"/>
        </w:rPr>
        <w:t>Compliance</w:t>
      </w:r>
      <w:r>
        <w:rPr>
          <w:spacing w:val="-9"/>
        </w:rPr>
        <w:t xml:space="preserve"> </w:t>
      </w:r>
      <w:r>
        <w:rPr>
          <w:spacing w:val="-4"/>
        </w:rPr>
        <w:t>Compact.</w:t>
      </w:r>
    </w:p>
    <w:p w14:paraId="7C031EE6" w14:textId="1A0DA670" w:rsidR="00985281" w:rsidRDefault="00ED5E9F" w:rsidP="00DE1B0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t>In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1"/>
        </w:rPr>
        <w:t xml:space="preserve"> </w:t>
      </w:r>
      <w:r>
        <w:rPr>
          <w:spacing w:val="-3"/>
        </w:rPr>
        <w:t>response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independent</w:t>
      </w:r>
      <w:r>
        <w:rPr>
          <w:spacing w:val="-12"/>
        </w:rPr>
        <w:t xml:space="preserve"> </w:t>
      </w:r>
      <w:r>
        <w:rPr>
          <w:spacing w:val="-3"/>
        </w:rPr>
        <w:t>audit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0"/>
        </w:rPr>
        <w:t xml:space="preserve"> </w:t>
      </w:r>
      <w:r>
        <w:t>MDB</w:t>
      </w:r>
      <w:r>
        <w:rPr>
          <w:spacing w:val="-11"/>
        </w:rPr>
        <w:t xml:space="preserve"> </w:t>
      </w:r>
      <w:r>
        <w:rPr>
          <w:spacing w:val="-4"/>
        </w:rPr>
        <w:t>Compliance</w:t>
      </w:r>
      <w:r>
        <w:rPr>
          <w:spacing w:val="-10"/>
        </w:rPr>
        <w:t xml:space="preserve"> </w:t>
      </w:r>
      <w:r>
        <w:rPr>
          <w:spacing w:val="-3"/>
        </w:rPr>
        <w:t>Compact,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Queensland Government committed </w:t>
      </w:r>
      <w:r>
        <w:t xml:space="preserve">to </w:t>
      </w:r>
      <w:r>
        <w:rPr>
          <w:spacing w:val="-4"/>
        </w:rPr>
        <w:t xml:space="preserve">reviewing </w:t>
      </w:r>
      <w:r>
        <w:rPr>
          <w:spacing w:val="-2"/>
        </w:rPr>
        <w:t xml:space="preserve">its </w:t>
      </w:r>
      <w:r>
        <w:rPr>
          <w:spacing w:val="-3"/>
        </w:rPr>
        <w:t xml:space="preserve">metering policy and </w:t>
      </w:r>
      <w:r>
        <w:rPr>
          <w:spacing w:val="-4"/>
        </w:rPr>
        <w:t xml:space="preserve">delivery </w:t>
      </w:r>
      <w:r>
        <w:rPr>
          <w:spacing w:val="-3"/>
        </w:rPr>
        <w:t xml:space="preserve">model. </w:t>
      </w:r>
      <w:r>
        <w:rPr>
          <w:spacing w:val="-4"/>
        </w:rPr>
        <w:t xml:space="preserve">Proposals </w:t>
      </w:r>
      <w:r>
        <w:rPr>
          <w:spacing w:val="-3"/>
        </w:rPr>
        <w:t xml:space="preserve">for </w:t>
      </w:r>
      <w:r>
        <w:t xml:space="preserve">a </w:t>
      </w:r>
      <w:r>
        <w:rPr>
          <w:spacing w:val="-3"/>
        </w:rPr>
        <w:t xml:space="preserve">new draft </w:t>
      </w:r>
      <w:r>
        <w:rPr>
          <w:spacing w:val="-4"/>
        </w:rPr>
        <w:t xml:space="preserve">non-urban </w:t>
      </w:r>
      <w:r>
        <w:rPr>
          <w:spacing w:val="-3"/>
        </w:rPr>
        <w:t xml:space="preserve">water measurement policy have been </w:t>
      </w:r>
      <w:r>
        <w:rPr>
          <w:spacing w:val="-4"/>
        </w:rPr>
        <w:t>developed</w:t>
      </w:r>
      <w:r>
        <w:rPr>
          <w:spacing w:val="53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supported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3"/>
        </w:rPr>
        <w:t>new</w:t>
      </w:r>
      <w:r>
        <w:rPr>
          <w:spacing w:val="-9"/>
        </w:rPr>
        <w:t xml:space="preserve"> </w:t>
      </w:r>
      <w:r>
        <w:rPr>
          <w:spacing w:val="-3"/>
        </w:rPr>
        <w:t>proposed</w:t>
      </w:r>
      <w:r>
        <w:rPr>
          <w:spacing w:val="-9"/>
        </w:rPr>
        <w:t xml:space="preserve"> </w:t>
      </w:r>
      <w:r>
        <w:rPr>
          <w:spacing w:val="-4"/>
        </w:rPr>
        <w:t>standard</w:t>
      </w:r>
      <w:r w:rsidR="00093F5B">
        <w:rPr>
          <w:spacing w:val="-4"/>
        </w:rPr>
        <w:t>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strengthen</w:t>
      </w:r>
      <w:r>
        <w:rPr>
          <w:spacing w:val="-8"/>
        </w:rPr>
        <w:t xml:space="preserve"> </w:t>
      </w:r>
      <w:r>
        <w:rPr>
          <w:spacing w:val="-3"/>
        </w:rPr>
        <w:t>meter</w:t>
      </w:r>
      <w:r>
        <w:rPr>
          <w:spacing w:val="-7"/>
        </w:rPr>
        <w:t xml:space="preserve"> </w:t>
      </w:r>
      <w:r>
        <w:rPr>
          <w:spacing w:val="-3"/>
        </w:rPr>
        <w:t>accuracy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 xml:space="preserve">validation.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draft</w:t>
      </w:r>
      <w:r>
        <w:rPr>
          <w:spacing w:val="-10"/>
        </w:rPr>
        <w:t xml:space="preserve"> </w:t>
      </w:r>
      <w:r>
        <w:rPr>
          <w:spacing w:val="-3"/>
        </w:rPr>
        <w:t>policy</w:t>
      </w:r>
      <w:r>
        <w:rPr>
          <w:spacing w:val="-11"/>
        </w:rPr>
        <w:t xml:space="preserve"> </w:t>
      </w:r>
      <w:r>
        <w:rPr>
          <w:spacing w:val="-4"/>
        </w:rPr>
        <w:t>proposals</w:t>
      </w:r>
      <w:r>
        <w:rPr>
          <w:spacing w:val="-12"/>
        </w:rPr>
        <w:t xml:space="preserve"> </w:t>
      </w:r>
      <w:r>
        <w:rPr>
          <w:spacing w:val="-3"/>
        </w:rPr>
        <w:t>address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recommendations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independent</w:t>
      </w:r>
      <w:r>
        <w:rPr>
          <w:spacing w:val="-12"/>
        </w:rPr>
        <w:t xml:space="preserve"> </w:t>
      </w:r>
      <w:r>
        <w:rPr>
          <w:spacing w:val="-3"/>
        </w:rPr>
        <w:t>audit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3"/>
        </w:rPr>
        <w:t xml:space="preserve">improve both water </w:t>
      </w:r>
      <w:r>
        <w:rPr>
          <w:spacing w:val="-4"/>
        </w:rPr>
        <w:t xml:space="preserve">measurement, compliance, </w:t>
      </w:r>
      <w:r>
        <w:rPr>
          <w:spacing w:val="-3"/>
        </w:rPr>
        <w:t xml:space="preserve">and increased </w:t>
      </w:r>
      <w:r>
        <w:rPr>
          <w:spacing w:val="-4"/>
        </w:rPr>
        <w:t xml:space="preserve">transparency </w:t>
      </w:r>
      <w:r>
        <w:t xml:space="preserve">of </w:t>
      </w:r>
      <w:r>
        <w:rPr>
          <w:spacing w:val="-3"/>
        </w:rPr>
        <w:t xml:space="preserve">water information </w:t>
      </w:r>
      <w:r>
        <w:t xml:space="preserve">for </w:t>
      </w:r>
      <w:r>
        <w:rPr>
          <w:spacing w:val="-3"/>
        </w:rPr>
        <w:t>water users and the</w:t>
      </w:r>
      <w:r>
        <w:rPr>
          <w:spacing w:val="-15"/>
        </w:rPr>
        <w:t xml:space="preserve"> </w:t>
      </w:r>
      <w:r>
        <w:rPr>
          <w:spacing w:val="-4"/>
        </w:rPr>
        <w:t>community.</w:t>
      </w:r>
    </w:p>
    <w:p w14:paraId="7C031EE8" w14:textId="29437E50" w:rsidR="00985281" w:rsidRDefault="00ED5E9F" w:rsidP="00DE1B0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3" w:hanging="426"/>
      </w:pPr>
      <w:r>
        <w:rPr>
          <w:u w:val="single"/>
        </w:rPr>
        <w:t>Cabinet</w:t>
      </w:r>
      <w:r>
        <w:rPr>
          <w:spacing w:val="-11"/>
          <w:u w:val="single"/>
        </w:rPr>
        <w:t xml:space="preserve"> </w:t>
      </w:r>
      <w:r>
        <w:rPr>
          <w:u w:val="single"/>
        </w:rPr>
        <w:t>approved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Resources,</w:t>
      </w:r>
      <w:r>
        <w:rPr>
          <w:spacing w:val="-11"/>
        </w:rPr>
        <w:t xml:space="preserve"> </w:t>
      </w:r>
      <w:r>
        <w:t>Mines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undertake stakeholder and public consultation on the draft Queensland non-urban water measurement policy proposals and delivery</w:t>
      </w:r>
      <w:r>
        <w:rPr>
          <w:spacing w:val="-2"/>
        </w:rPr>
        <w:t xml:space="preserve"> </w:t>
      </w:r>
      <w:r>
        <w:t>model.</w:t>
      </w:r>
    </w:p>
    <w:p w14:paraId="7C031EEA" w14:textId="69AD790E" w:rsidR="00985281" w:rsidRPr="00E86FE4" w:rsidRDefault="00ED5E9F" w:rsidP="00C168E2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3" w:hanging="426"/>
        <w:rPr>
          <w:i/>
          <w:u w:val="single"/>
        </w:rPr>
      </w:pPr>
      <w:r w:rsidRPr="00E86FE4">
        <w:rPr>
          <w:i/>
          <w:u w:val="single"/>
        </w:rPr>
        <w:t>Attachments</w:t>
      </w:r>
    </w:p>
    <w:p w14:paraId="0E3948AF" w14:textId="6D99CF15" w:rsidR="00093F5B" w:rsidRPr="00C17081" w:rsidRDefault="000D76AF" w:rsidP="00C168E2">
      <w:pPr>
        <w:pStyle w:val="ListParagraph"/>
        <w:numPr>
          <w:ilvl w:val="1"/>
          <w:numId w:val="1"/>
        </w:numPr>
        <w:tabs>
          <w:tab w:val="left" w:pos="851"/>
        </w:tabs>
        <w:spacing w:before="120"/>
        <w:ind w:left="851" w:right="3" w:hanging="425"/>
        <w:jc w:val="left"/>
      </w:pPr>
      <w:hyperlink r:id="rId10" w:history="1">
        <w:r w:rsidR="00ED5E9F" w:rsidRPr="001B23B0">
          <w:rPr>
            <w:rStyle w:val="Hyperlink"/>
          </w:rPr>
          <w:t>Draft Queensland non-urban water measurement policy consultation</w:t>
        </w:r>
        <w:r w:rsidR="00ED5E9F" w:rsidRPr="001B23B0">
          <w:rPr>
            <w:rStyle w:val="Hyperlink"/>
            <w:spacing w:val="-5"/>
          </w:rPr>
          <w:t xml:space="preserve"> </w:t>
        </w:r>
        <w:r w:rsidR="00ED5E9F" w:rsidRPr="001B23B0">
          <w:rPr>
            <w:rStyle w:val="Hyperlink"/>
          </w:rPr>
          <w:t>paper</w:t>
        </w:r>
      </w:hyperlink>
    </w:p>
    <w:sectPr w:rsidR="00093F5B" w:rsidRPr="00C17081" w:rsidSect="00EB7F8E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05103" w14:textId="77777777" w:rsidR="00EB3E09" w:rsidRDefault="00EB3E09" w:rsidP="00675798">
      <w:r>
        <w:separator/>
      </w:r>
    </w:p>
  </w:endnote>
  <w:endnote w:type="continuationSeparator" w:id="0">
    <w:p w14:paraId="5099A27A" w14:textId="77777777" w:rsidR="00EB3E09" w:rsidRDefault="00EB3E09" w:rsidP="0067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8C006" w14:textId="77777777" w:rsidR="00EB3E09" w:rsidRDefault="00EB3E09" w:rsidP="00675798">
      <w:r>
        <w:separator/>
      </w:r>
    </w:p>
  </w:footnote>
  <w:footnote w:type="continuationSeparator" w:id="0">
    <w:p w14:paraId="7FE01AAF" w14:textId="77777777" w:rsidR="00EB3E09" w:rsidRDefault="00EB3E09" w:rsidP="0067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A940E" w14:textId="77777777" w:rsidR="00675798" w:rsidRPr="00937A4A" w:rsidRDefault="00675798" w:rsidP="0067579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632EA085" w14:textId="77777777" w:rsidR="00675798" w:rsidRPr="00937A4A" w:rsidRDefault="00675798" w:rsidP="0067579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ED0FA71" w14:textId="2F46C8F2" w:rsidR="00675798" w:rsidRPr="00937A4A" w:rsidRDefault="00675798" w:rsidP="00675798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July 2019</w:t>
    </w:r>
  </w:p>
  <w:p w14:paraId="022478A7" w14:textId="6155306D" w:rsidR="00675798" w:rsidRDefault="00675798" w:rsidP="00675798">
    <w:pPr>
      <w:pStyle w:val="Header"/>
      <w:spacing w:before="120"/>
      <w:rPr>
        <w:b/>
        <w:u w:val="single"/>
      </w:rPr>
    </w:pPr>
    <w:r>
      <w:rPr>
        <w:b/>
        <w:u w:val="single"/>
      </w:rPr>
      <w:t>New Queensland non-urban water measurement policy and delivery model, and endorsement of stakeholder and public consultation</w:t>
    </w:r>
  </w:p>
  <w:p w14:paraId="4C35499A" w14:textId="78C338C3" w:rsidR="00675798" w:rsidRDefault="00675798" w:rsidP="00675798">
    <w:pPr>
      <w:pStyle w:val="Header"/>
      <w:spacing w:before="120"/>
      <w:rPr>
        <w:b/>
        <w:u w:val="single"/>
      </w:rPr>
    </w:pPr>
    <w:r>
      <w:rPr>
        <w:b/>
        <w:u w:val="single"/>
      </w:rPr>
      <w:t>Minister for Natural Resources, Mines and Energy</w:t>
    </w:r>
  </w:p>
  <w:p w14:paraId="335575DC" w14:textId="77777777" w:rsidR="00675798" w:rsidRDefault="00675798" w:rsidP="0067579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D6E74"/>
    <w:multiLevelType w:val="hybridMultilevel"/>
    <w:tmpl w:val="EABE0746"/>
    <w:lvl w:ilvl="0" w:tplc="57C802E4">
      <w:start w:val="1"/>
      <w:numFmt w:val="decimal"/>
      <w:lvlText w:val="%1."/>
      <w:lvlJc w:val="left"/>
      <w:pPr>
        <w:ind w:left="1021" w:hanging="361"/>
      </w:pPr>
      <w:rPr>
        <w:rFonts w:ascii="Arial" w:eastAsia="Arial" w:hAnsi="Arial" w:cs="Arial" w:hint="default"/>
        <w:i w:val="0"/>
        <w:spacing w:val="-4"/>
        <w:w w:val="99"/>
        <w:sz w:val="22"/>
        <w:szCs w:val="22"/>
      </w:rPr>
    </w:lvl>
    <w:lvl w:ilvl="1" w:tplc="2B362776">
      <w:numFmt w:val="bullet"/>
      <w:lvlText w:val=""/>
      <w:lvlJc w:val="left"/>
      <w:pPr>
        <w:ind w:left="1472" w:hanging="454"/>
      </w:pPr>
      <w:rPr>
        <w:rFonts w:ascii="Symbol" w:eastAsia="Symbol" w:hAnsi="Symbol" w:cs="Symbol" w:hint="default"/>
        <w:w w:val="100"/>
        <w:sz w:val="23"/>
        <w:szCs w:val="23"/>
      </w:rPr>
    </w:lvl>
    <w:lvl w:ilvl="2" w:tplc="391EB138">
      <w:numFmt w:val="bullet"/>
      <w:lvlText w:val="•"/>
      <w:lvlJc w:val="left"/>
      <w:pPr>
        <w:ind w:left="2422" w:hanging="454"/>
      </w:pPr>
      <w:rPr>
        <w:rFonts w:hint="default"/>
      </w:rPr>
    </w:lvl>
    <w:lvl w:ilvl="3" w:tplc="263AF0CA">
      <w:numFmt w:val="bullet"/>
      <w:lvlText w:val="•"/>
      <w:lvlJc w:val="left"/>
      <w:pPr>
        <w:ind w:left="3365" w:hanging="454"/>
      </w:pPr>
      <w:rPr>
        <w:rFonts w:hint="default"/>
      </w:rPr>
    </w:lvl>
    <w:lvl w:ilvl="4" w:tplc="2244DD3A">
      <w:numFmt w:val="bullet"/>
      <w:lvlText w:val="•"/>
      <w:lvlJc w:val="left"/>
      <w:pPr>
        <w:ind w:left="4308" w:hanging="454"/>
      </w:pPr>
      <w:rPr>
        <w:rFonts w:hint="default"/>
      </w:rPr>
    </w:lvl>
    <w:lvl w:ilvl="5" w:tplc="81F86B5C">
      <w:numFmt w:val="bullet"/>
      <w:lvlText w:val="•"/>
      <w:lvlJc w:val="left"/>
      <w:pPr>
        <w:ind w:left="5250" w:hanging="454"/>
      </w:pPr>
      <w:rPr>
        <w:rFonts w:hint="default"/>
      </w:rPr>
    </w:lvl>
    <w:lvl w:ilvl="6" w:tplc="2D765F04">
      <w:numFmt w:val="bullet"/>
      <w:lvlText w:val="•"/>
      <w:lvlJc w:val="left"/>
      <w:pPr>
        <w:ind w:left="6193" w:hanging="454"/>
      </w:pPr>
      <w:rPr>
        <w:rFonts w:hint="default"/>
      </w:rPr>
    </w:lvl>
    <w:lvl w:ilvl="7" w:tplc="7BCE0EB6">
      <w:numFmt w:val="bullet"/>
      <w:lvlText w:val="•"/>
      <w:lvlJc w:val="left"/>
      <w:pPr>
        <w:ind w:left="7136" w:hanging="454"/>
      </w:pPr>
      <w:rPr>
        <w:rFonts w:hint="default"/>
      </w:rPr>
    </w:lvl>
    <w:lvl w:ilvl="8" w:tplc="BC72F0A2">
      <w:numFmt w:val="bullet"/>
      <w:lvlText w:val="•"/>
      <w:lvlJc w:val="left"/>
      <w:pPr>
        <w:ind w:left="8078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81"/>
    <w:rsid w:val="00086F40"/>
    <w:rsid w:val="00093F5B"/>
    <w:rsid w:val="000D76AF"/>
    <w:rsid w:val="001B23B0"/>
    <w:rsid w:val="00230904"/>
    <w:rsid w:val="0039710D"/>
    <w:rsid w:val="00675798"/>
    <w:rsid w:val="007376E9"/>
    <w:rsid w:val="007C757E"/>
    <w:rsid w:val="008D042D"/>
    <w:rsid w:val="00902948"/>
    <w:rsid w:val="00985281"/>
    <w:rsid w:val="00A64FB1"/>
    <w:rsid w:val="00B66FF6"/>
    <w:rsid w:val="00C168E2"/>
    <w:rsid w:val="00C17081"/>
    <w:rsid w:val="00DE1B08"/>
    <w:rsid w:val="00E86FE4"/>
    <w:rsid w:val="00EA5C33"/>
    <w:rsid w:val="00EB3E09"/>
    <w:rsid w:val="00EB7F8E"/>
    <w:rsid w:val="00E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66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75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79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75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79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1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0D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76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6F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982BE-E78A-496B-B437-3F23E092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DD0D9-51C6-48C4-8717-6AE39945803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C47DE4-603D-4535-9BC8-30F1D2197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1560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AA Attachment Cover Sheet V2</vt:lpstr>
    </vt:vector>
  </TitlesOfParts>
  <Company/>
  <LinksUpToDate>false</LinksUpToDate>
  <CharactersWithSpaces>1813</CharactersWithSpaces>
  <SharedDoc>false</SharedDoc>
  <HyperlinkBase>https://www.cabinet.qld.gov.au/documents/2019/Jul/Water/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 Attachment Cover Sheet V2</dc:title>
  <dc:creator/>
  <cp:lastModifiedBy/>
  <cp:revision>8</cp:revision>
  <dcterms:created xsi:type="dcterms:W3CDTF">2019-09-12T03:53:00Z</dcterms:created>
  <dcterms:modified xsi:type="dcterms:W3CDTF">2019-12-11T09:20:00Z</dcterms:modified>
  <cp:category>Water,Rural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2019-07-24T00:00:00Z</vt:filetime>
  </property>
  <property fmtid="{D5CDD505-2E9C-101B-9397-08002B2CF9AE}" pid="5" name="ContentTypeId">
    <vt:lpwstr>0x010100DDE14CFDD070B24F85F5DE43654FF01E</vt:lpwstr>
  </property>
</Properties>
</file>